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b/>
          <w:bCs/>
          <w:spacing w:val="-20"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spacing w:val="-20"/>
          <w:sz w:val="40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pacing w:val="-20"/>
          <w:sz w:val="40"/>
          <w:szCs w:val="40"/>
          <w:lang w:val="en-US" w:eastAsia="zh-CN"/>
        </w:rPr>
        <w:t xml:space="preserve">4：    </w:t>
      </w:r>
      <w:r>
        <w:rPr>
          <w:rFonts w:hint="eastAsia" w:ascii="仿宋" w:hAnsi="仿宋" w:eastAsia="仿宋" w:cs="仿宋"/>
          <w:b/>
          <w:bCs/>
          <w:spacing w:val="-20"/>
          <w:sz w:val="40"/>
          <w:szCs w:val="40"/>
          <w:lang w:eastAsia="zh-CN"/>
        </w:rPr>
        <w:t>职业规划组PPT现场展示评分标准</w:t>
      </w:r>
    </w:p>
    <w:p>
      <w:pPr>
        <w:spacing w:line="580" w:lineRule="exact"/>
        <w:jc w:val="center"/>
        <w:rPr>
          <w:rFonts w:hint="eastAsia" w:ascii="仿宋" w:hAnsi="仿宋" w:eastAsia="仿宋"/>
          <w:spacing w:val="-20"/>
          <w:sz w:val="30"/>
          <w:szCs w:val="30"/>
        </w:rPr>
      </w:pPr>
      <w:r>
        <w:rPr>
          <w:rFonts w:hint="eastAsia" w:ascii="仿宋" w:hAnsi="仿宋" w:eastAsia="仿宋"/>
          <w:spacing w:val="-20"/>
          <w:sz w:val="30"/>
          <w:szCs w:val="30"/>
        </w:rPr>
        <w:t xml:space="preserve"> </w:t>
      </w:r>
    </w:p>
    <w:tbl>
      <w:tblPr>
        <w:tblStyle w:val="2"/>
        <w:tblW w:w="97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22"/>
        <w:gridCol w:w="66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评分要素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评分要点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具体描述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（100分）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基本素养（20分）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陈述内容</w:t>
            </w:r>
          </w:p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1.对职业规划的自我探索、职业探索、决策应对等环节的要素及分析过程陈述全面、客观、准确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2.在陈述中能够正确理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>解、应用职业规划基本理论及各项辅助工具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3.对各探索分析过程及结果表述准确，且与作品吻合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4.简明扼要，条理清晰，结论明确，能够准确提炼职业规划设计作品的主要内容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即时效果</w:t>
            </w:r>
          </w:p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2.有感染力，能吸引评委注意力，调动观众情绪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5F85"/>
    <w:rsid w:val="36383385"/>
    <w:rsid w:val="447F5F85"/>
    <w:rsid w:val="6D535020"/>
    <w:rsid w:val="741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2018-05-14T09:42:00Z</dcterms:created>
  <dc:creator>黄山学院高</dc:creator>
  <cp:lastModifiedBy>黄山学院高</cp:lastModifiedBy>
  <dcterms:modified xsi:type="dcterms:W3CDTF">2019-04-10T08:29:55Z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