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" w:hAnsi="仿宋" w:eastAsia="仿宋"/>
          <w:sz w:val="40"/>
          <w:szCs w:val="40"/>
          <w:lang w:val="en-US" w:eastAsia="zh-CN"/>
        </w:rPr>
      </w:pPr>
      <w:r>
        <w:rPr>
          <w:rFonts w:hint="eastAsia" w:ascii="仿宋" w:hAnsi="仿宋" w:eastAsia="仿宋"/>
          <w:sz w:val="40"/>
          <w:szCs w:val="40"/>
          <w:lang w:eastAsia="zh-CN"/>
        </w:rPr>
        <w:t>附件</w:t>
      </w:r>
      <w:r>
        <w:rPr>
          <w:rFonts w:hint="eastAsia" w:ascii="仿宋" w:hAnsi="仿宋" w:eastAsia="仿宋"/>
          <w:sz w:val="40"/>
          <w:szCs w:val="40"/>
          <w:lang w:val="en-US" w:eastAsia="zh-CN"/>
        </w:rPr>
        <w:t>1.</w:t>
      </w:r>
    </w:p>
    <w:p>
      <w:pPr>
        <w:spacing w:line="580" w:lineRule="exact"/>
        <w:jc w:val="center"/>
        <w:rPr>
          <w:rFonts w:hint="eastAsia" w:ascii="仿宋" w:hAnsi="仿宋" w:eastAsia="仿宋"/>
          <w:b/>
          <w:bCs/>
          <w:sz w:val="40"/>
          <w:szCs w:val="40"/>
          <w:lang w:eastAsia="zh-CN"/>
        </w:rPr>
      </w:pPr>
      <w:r>
        <w:rPr>
          <w:rFonts w:hint="eastAsia" w:ascii="仿宋" w:hAnsi="仿宋" w:eastAsia="仿宋"/>
          <w:b/>
          <w:bCs/>
          <w:sz w:val="40"/>
          <w:szCs w:val="40"/>
          <w:lang w:eastAsia="zh-CN"/>
        </w:rPr>
        <w:t>《职业生涯规划设计书》评分标准</w:t>
      </w:r>
    </w:p>
    <w:p>
      <w:pPr>
        <w:autoSpaceDE w:val="0"/>
        <w:spacing w:line="500" w:lineRule="exact"/>
        <w:ind w:firstLine="1600" w:firstLineChars="500"/>
        <w:jc w:val="center"/>
        <w:rPr>
          <w:rFonts w:hint="eastAsia" w:ascii="方正黑体_GBK" w:hAnsi="宋体" w:eastAsia="方正黑体_GBK" w:cs="宋体"/>
          <w:kern w:val="0"/>
          <w:szCs w:val="32"/>
        </w:rPr>
      </w:pPr>
      <w:r>
        <w:rPr>
          <w:rFonts w:hint="eastAsia" w:ascii="方正黑体_GBK" w:hAnsi="宋体" w:eastAsia="方正黑体_GBK" w:cs="宋体"/>
          <w:kern w:val="0"/>
        </w:rPr>
        <w:t xml:space="preserve"> </w:t>
      </w:r>
      <w:bookmarkStart w:id="0" w:name="_GoBack"/>
      <w:bookmarkEnd w:id="0"/>
    </w:p>
    <w:tbl>
      <w:tblPr>
        <w:tblStyle w:val="2"/>
        <w:tblW w:w="140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785"/>
        <w:gridCol w:w="109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评分要素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评分要点</w:t>
            </w:r>
          </w:p>
        </w:tc>
        <w:tc>
          <w:tcPr>
            <w:tcW w:w="10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具体描述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职  业</w:t>
            </w:r>
          </w:p>
          <w:p>
            <w:pPr>
              <w:autoSpaceDE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规  划</w:t>
            </w:r>
          </w:p>
          <w:p>
            <w:pPr>
              <w:autoSpaceDE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设计书</w:t>
            </w:r>
          </w:p>
          <w:p>
            <w:pPr>
              <w:autoSpaceDE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内  容</w:t>
            </w:r>
          </w:p>
          <w:p>
            <w:pPr>
              <w:autoSpaceDE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(70分）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自我认知</w:t>
            </w:r>
          </w:p>
          <w:p>
            <w:pPr>
              <w:autoSpaceDE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（15分）</w:t>
            </w:r>
          </w:p>
        </w:tc>
        <w:tc>
          <w:tcPr>
            <w:tcW w:w="10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0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1．从个人兴趣爱好、成长经历、社会实践中全面客观分析自我，能清楚的认识到自己的优势和劣势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0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00" w:lineRule="exact"/>
              <w:ind w:left="315" w:hanging="330" w:hangingChars="15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2．综合运用各类人才测评工具，评估自己的个性特征、职业兴趣、职业能力、行为风格、价值观等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职业认知</w:t>
            </w:r>
          </w:p>
          <w:p>
            <w:pPr>
              <w:autoSpaceDE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（15分）</w:t>
            </w:r>
          </w:p>
        </w:tc>
        <w:tc>
          <w:tcPr>
            <w:tcW w:w="10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0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1．了解社会的整体就业趋势与大学生就业状况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0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0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2．对目标行业发展前景、现状及就业需求有清晰的了解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0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0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3．熟悉目标职业的工作内容、环境和典型生活方式，了解目标职业的待遇及发展趋势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0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00" w:lineRule="exact"/>
              <w:ind w:left="210" w:hanging="220" w:hangingChars="10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4．了解目标职业的准入资格、胜任标准、发展路径以及对家庭、生活等方面的影响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0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0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5．职业道德阐释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职业目标</w:t>
            </w:r>
          </w:p>
          <w:p>
            <w:pPr>
              <w:autoSpaceDE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路径设计</w:t>
            </w:r>
          </w:p>
          <w:p>
            <w:pPr>
              <w:autoSpaceDE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（20分）</w:t>
            </w:r>
          </w:p>
        </w:tc>
        <w:tc>
          <w:tcPr>
            <w:tcW w:w="10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00" w:lineRule="exact"/>
              <w:ind w:left="315" w:hanging="330" w:hangingChars="15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1．职业目标确定和发展路径设计要符合外部环境和个人特质（兴趣、技能、性格、价值观），要符合实际，有可行性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0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0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2．职业发展路径符合逻辑和现实、对实习目标而言具有可操作性和竞争力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0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0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3．要用长远的眼光设定职业目标，并将总目标划分成几个阶段性目标来实现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规划与计划实施</w:t>
            </w:r>
          </w:p>
          <w:p>
            <w:pPr>
              <w:autoSpaceDE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（20分）</w:t>
            </w:r>
          </w:p>
        </w:tc>
        <w:tc>
          <w:tcPr>
            <w:tcW w:w="10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0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1．行动计划清晰、可操作性强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0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0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2．行动计划对保持个人优势、全面提升个人竞争力有针对性、可操作性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0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0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3．近期计划详尽、中期计划清晰并具有灵活性、长期计划具有方向性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参赛作品</w:t>
            </w:r>
          </w:p>
          <w:p>
            <w:pPr>
              <w:autoSpaceDE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设计思路</w:t>
            </w:r>
          </w:p>
          <w:p>
            <w:pPr>
              <w:autoSpaceDE w:val="0"/>
              <w:spacing w:line="50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（30分）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作品完整性</w:t>
            </w:r>
          </w:p>
          <w:p>
            <w:pPr>
              <w:autoSpaceDE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（10分）</w:t>
            </w:r>
          </w:p>
        </w:tc>
        <w:tc>
          <w:tcPr>
            <w:tcW w:w="10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00" w:lineRule="exact"/>
              <w:ind w:firstLine="220" w:firstLineChars="10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内容完整，对自我和外部环境进行全面分析，提出自己的职业目标、发展路径和行动计划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作品思路和逻辑</w:t>
            </w:r>
          </w:p>
          <w:p>
            <w:pPr>
              <w:autoSpaceDE w:val="0"/>
              <w:spacing w:line="500" w:lineRule="exact"/>
              <w:ind w:firstLine="442" w:firstLineChars="200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（10分）</w:t>
            </w:r>
          </w:p>
        </w:tc>
        <w:tc>
          <w:tcPr>
            <w:tcW w:w="10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00" w:lineRule="exact"/>
              <w:ind w:firstLine="220" w:firstLineChars="10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职业规划设计报告思路清晰、逻辑合理，能准确把握职业规划设计的核心与关键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00" w:lineRule="exact"/>
              <w:ind w:firstLine="221" w:firstLineChars="100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作品美观性</w:t>
            </w:r>
          </w:p>
          <w:p>
            <w:pPr>
              <w:autoSpaceDE w:val="0"/>
              <w:spacing w:line="500" w:lineRule="exact"/>
              <w:ind w:firstLine="442" w:firstLineChars="200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（10分）</w:t>
            </w:r>
          </w:p>
        </w:tc>
        <w:tc>
          <w:tcPr>
            <w:tcW w:w="10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00" w:lineRule="exact"/>
              <w:ind w:firstLine="220" w:firstLineChars="10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格式清晰，版面大方美观，创意新颖</w:t>
            </w:r>
          </w:p>
        </w:tc>
      </w:tr>
    </w:tbl>
    <w:p>
      <w:pPr>
        <w:autoSpaceDE w:val="0"/>
        <w:spacing w:line="500" w:lineRule="exact"/>
        <w:ind w:firstLine="2209" w:firstLineChars="500"/>
        <w:jc w:val="center"/>
        <w:rPr>
          <w:rFonts w:hint="eastAsia" w:ascii="仿宋" w:hAnsi="仿宋" w:eastAsia="仿宋" w:cs="仿宋"/>
          <w:b/>
          <w:bCs/>
          <w:kern w:val="0"/>
          <w:sz w:val="44"/>
          <w:szCs w:val="4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425F67"/>
    <w:rsid w:val="07425F67"/>
    <w:rsid w:val="44DD3110"/>
    <w:rsid w:val="59271105"/>
    <w:rsid w:val="6D535020"/>
    <w:rsid w:val="7034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8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2018-05-14T03:08:00Z</dcterms:created>
  <dc:creator>黄山学院高</dc:creator>
  <cp:lastModifiedBy>黄山学院高</cp:lastModifiedBy>
  <dcterms:modified xsi:type="dcterms:W3CDTF">2019-04-10T08:28:47Z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